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45" w:rsidRDefault="006A6922">
      <w:pPr>
        <w:spacing w:line="100" w:lineRule="atLeast"/>
        <w:ind w:firstLine="540"/>
        <w:jc w:val="both"/>
        <w:rPr>
          <w:color w:val="000000"/>
          <w:sz w:val="25"/>
          <w:szCs w:val="25"/>
          <w:lang w:eastAsia="ar-SA"/>
        </w:rPr>
      </w:pPr>
      <w:r>
        <w:rPr>
          <w:color w:val="000000"/>
          <w:sz w:val="25"/>
          <w:szCs w:val="25"/>
          <w:lang w:eastAsia="ar-SA"/>
        </w:rPr>
        <w:t>Спрашивали? Отвечаем!</w:t>
      </w:r>
    </w:p>
    <w:p w:rsidR="00DF7645" w:rsidRDefault="00DF7645">
      <w:pPr>
        <w:spacing w:line="100" w:lineRule="atLeast"/>
        <w:ind w:firstLine="540"/>
        <w:jc w:val="both"/>
        <w:rPr>
          <w:color w:val="000000"/>
          <w:sz w:val="25"/>
          <w:szCs w:val="25"/>
          <w:lang w:eastAsia="ar-SA"/>
        </w:rPr>
      </w:pPr>
    </w:p>
    <w:p w:rsidR="00DF7645" w:rsidRDefault="006A6922">
      <w:pPr>
        <w:spacing w:line="100" w:lineRule="atLeast"/>
        <w:ind w:firstLine="540"/>
        <w:jc w:val="center"/>
        <w:rPr>
          <w:b/>
          <w:bCs/>
          <w:color w:val="000000"/>
          <w:sz w:val="25"/>
          <w:szCs w:val="25"/>
          <w:lang w:eastAsia="ar-SA"/>
        </w:rPr>
      </w:pPr>
      <w:r>
        <w:rPr>
          <w:b/>
          <w:bCs/>
          <w:color w:val="000000"/>
          <w:sz w:val="25"/>
          <w:szCs w:val="25"/>
          <w:lang w:eastAsia="ar-SA"/>
        </w:rPr>
        <w:t>Нужно ли устанавливать надбавки к заработной плате молодым специалистам? Кто от</w:t>
      </w:r>
      <w:r w:rsidR="000C77D0">
        <w:rPr>
          <w:b/>
          <w:bCs/>
          <w:color w:val="000000"/>
          <w:sz w:val="25"/>
          <w:szCs w:val="25"/>
          <w:lang w:eastAsia="ar-SA"/>
        </w:rPr>
        <w:t>носится к этой категории работни</w:t>
      </w:r>
      <w:r>
        <w:rPr>
          <w:b/>
          <w:bCs/>
          <w:color w:val="000000"/>
          <w:sz w:val="25"/>
          <w:szCs w:val="25"/>
          <w:lang w:eastAsia="ar-SA"/>
        </w:rPr>
        <w:t xml:space="preserve">ков? </w:t>
      </w:r>
    </w:p>
    <w:p w:rsidR="00DF7645" w:rsidRDefault="00DF7645">
      <w:pPr>
        <w:spacing w:line="100" w:lineRule="atLeast"/>
        <w:ind w:firstLine="540"/>
        <w:jc w:val="center"/>
        <w:rPr>
          <w:color w:val="000000"/>
          <w:sz w:val="25"/>
          <w:szCs w:val="25"/>
          <w:lang w:eastAsia="ar-SA"/>
        </w:rPr>
      </w:pPr>
    </w:p>
    <w:p w:rsidR="00DF7645" w:rsidRDefault="006A6922">
      <w:pPr>
        <w:pStyle w:val="a8"/>
        <w:ind w:firstLine="567"/>
        <w:jc w:val="both"/>
      </w:pPr>
      <w:bookmarkStart w:id="0" w:name="_GoBack"/>
      <w:r>
        <w:rPr>
          <w:color w:val="000000"/>
          <w:sz w:val="26"/>
          <w:szCs w:val="26"/>
          <w:lang w:eastAsia="ar-SA"/>
        </w:rPr>
        <w:t xml:space="preserve">Трудовой </w:t>
      </w:r>
      <w:hyperlink r:id="rId4">
        <w:r>
          <w:rPr>
            <w:color w:val="000000"/>
            <w:sz w:val="26"/>
            <w:szCs w:val="26"/>
            <w:lang w:eastAsia="ar-SA"/>
          </w:rPr>
          <w:t>кодекс</w:t>
        </w:r>
      </w:hyperlink>
      <w:r>
        <w:rPr>
          <w:color w:val="000000"/>
          <w:sz w:val="26"/>
          <w:szCs w:val="26"/>
          <w:lang w:eastAsia="ar-SA"/>
        </w:rPr>
        <w:t xml:space="preserve"> РФ (далее - ТК РФ) не содержит такого понятия, как "молодой специалист", оно никак не раскрывается законодателем, не приводятся критерии отнесения работников к данной категории.</w:t>
      </w:r>
    </w:p>
    <w:p w:rsidR="00DF7645" w:rsidRDefault="006A6922">
      <w:pPr>
        <w:pStyle w:val="a8"/>
        <w:ind w:firstLine="567"/>
        <w:jc w:val="both"/>
      </w:pPr>
      <w:r>
        <w:rPr>
          <w:color w:val="000000"/>
          <w:sz w:val="26"/>
          <w:szCs w:val="26"/>
        </w:rPr>
        <w:t xml:space="preserve">Однако согласно </w:t>
      </w:r>
      <w:hyperlink r:id="rId5">
        <w:r>
          <w:rPr>
            <w:color w:val="000000"/>
            <w:sz w:val="26"/>
            <w:szCs w:val="26"/>
          </w:rPr>
          <w:t>ст. 5</w:t>
        </w:r>
      </w:hyperlink>
      <w:r>
        <w:rPr>
          <w:color w:val="000000"/>
          <w:sz w:val="26"/>
          <w:szCs w:val="26"/>
        </w:rPr>
        <w:t xml:space="preserve"> ТК РФ регулирование трудовых и иных, непосредственно связанных с ними отношений осуществляется не только </w:t>
      </w:r>
      <w:hyperlink r:id="rId6">
        <w:r>
          <w:rPr>
            <w:color w:val="000000"/>
            <w:sz w:val="26"/>
            <w:szCs w:val="26"/>
          </w:rPr>
          <w:t>ТК</w:t>
        </w:r>
      </w:hyperlink>
      <w:r>
        <w:rPr>
          <w:color w:val="000000"/>
          <w:sz w:val="26"/>
          <w:szCs w:val="26"/>
        </w:rPr>
        <w:t xml:space="preserve"> РФ, но и через иные федеральные нормативные правовые акты (НПА), НПА субъектов РФ и органов местного самоуправления, локальные нормативные акты. </w:t>
      </w:r>
    </w:p>
    <w:p w:rsidR="00DF7645" w:rsidRDefault="006A6922">
      <w:pPr>
        <w:pStyle w:val="a8"/>
        <w:ind w:firstLine="567"/>
        <w:jc w:val="both"/>
      </w:pPr>
      <w:hyperlink r:id="rId7">
        <w:r>
          <w:rPr>
            <w:color w:val="000000"/>
            <w:sz w:val="26"/>
            <w:szCs w:val="26"/>
          </w:rPr>
          <w:t>Пунктом 6 ст. 2</w:t>
        </w:r>
      </w:hyperlink>
      <w:r>
        <w:rPr>
          <w:color w:val="000000"/>
          <w:sz w:val="26"/>
          <w:szCs w:val="26"/>
        </w:rPr>
        <w:t xml:space="preserve"> Федерального закона от 30.12.2020 № 489-ФЗ "О молодежной политике в Российской Федерации" (далее - ФЗ о молодежной политике в РФ) установлено, что под молодым специалистом понимается гражданин РФ в возрасте до 35 лет включительно</w:t>
      </w:r>
      <w:r>
        <w:rPr>
          <w:color w:val="000000"/>
          <w:sz w:val="26"/>
          <w:szCs w:val="26"/>
        </w:rPr>
        <w:t xml:space="preserve"> (за исключением случаев, предусмотренных </w:t>
      </w:r>
      <w:hyperlink r:id="rId8">
        <w:r>
          <w:rPr>
            <w:color w:val="000000"/>
            <w:sz w:val="26"/>
            <w:szCs w:val="26"/>
          </w:rPr>
          <w:t>ч. 3 ст. 6</w:t>
        </w:r>
      </w:hyperlink>
      <w:r>
        <w:rPr>
          <w:color w:val="000000"/>
          <w:sz w:val="26"/>
          <w:szCs w:val="26"/>
        </w:rPr>
        <w:t xml:space="preserve"> ФЗ о молодежной политике в РФ), завершивший обучение по основным профессиональным образ</w:t>
      </w:r>
      <w:r>
        <w:rPr>
          <w:color w:val="000000"/>
          <w:sz w:val="26"/>
          <w:szCs w:val="26"/>
        </w:rPr>
        <w:t>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</w:t>
      </w:r>
      <w:r>
        <w:rPr>
          <w:color w:val="000000"/>
          <w:sz w:val="26"/>
          <w:szCs w:val="26"/>
        </w:rPr>
        <w:t xml:space="preserve"> программам и (или) по программам профессионального обучения. </w:t>
      </w:r>
    </w:p>
    <w:p w:rsidR="00DF7645" w:rsidRDefault="006A6922">
      <w:pPr>
        <w:pStyle w:val="a8"/>
        <w:ind w:firstLine="567"/>
        <w:jc w:val="both"/>
      </w:pPr>
      <w:r>
        <w:rPr>
          <w:color w:val="000000"/>
          <w:sz w:val="26"/>
          <w:szCs w:val="26"/>
        </w:rPr>
        <w:t xml:space="preserve">Согласно </w:t>
      </w:r>
      <w:hyperlink r:id="rId9">
        <w:proofErr w:type="spellStart"/>
        <w:r>
          <w:rPr>
            <w:color w:val="000000"/>
            <w:sz w:val="26"/>
            <w:szCs w:val="26"/>
          </w:rPr>
          <w:t>абз</w:t>
        </w:r>
        <w:proofErr w:type="spellEnd"/>
        <w:r>
          <w:rPr>
            <w:color w:val="000000"/>
            <w:sz w:val="26"/>
            <w:szCs w:val="26"/>
          </w:rPr>
          <w:t>. 9 п. 2</w:t>
        </w:r>
      </w:hyperlink>
      <w:r>
        <w:rPr>
          <w:color w:val="000000"/>
          <w:sz w:val="26"/>
          <w:szCs w:val="26"/>
        </w:rPr>
        <w:t xml:space="preserve"> Основ государственной молодежной политики Российской Фед</w:t>
      </w:r>
      <w:r>
        <w:rPr>
          <w:color w:val="000000"/>
          <w:sz w:val="26"/>
          <w:szCs w:val="26"/>
        </w:rPr>
        <w:t>ерации на период до 2025 года, утв. Распоряжением Правительства РФ от 29.11.2014 № 2403-р, молодой специалист - гражданин РФ в возрасте до 30 лет (для участников жилищных программ поддержки молодых специалистов - до 35 лет), имеющий среднее профессионально</w:t>
      </w:r>
      <w:r>
        <w:rPr>
          <w:color w:val="000000"/>
          <w:sz w:val="26"/>
          <w:szCs w:val="26"/>
        </w:rPr>
        <w:t>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DF7645" w:rsidRDefault="006A6922">
      <w:pPr>
        <w:pStyle w:val="a8"/>
        <w:ind w:firstLine="567"/>
        <w:jc w:val="both"/>
      </w:pPr>
      <w:r>
        <w:rPr>
          <w:color w:val="000000"/>
          <w:sz w:val="26"/>
          <w:szCs w:val="26"/>
        </w:rPr>
        <w:t xml:space="preserve">Таким образом, из приведенных выше норм, можно сделать вывод, что </w:t>
      </w:r>
      <w:r>
        <w:rPr>
          <w:color w:val="000000"/>
          <w:sz w:val="26"/>
          <w:szCs w:val="26"/>
        </w:rPr>
        <w:t>молодой специалист - лицо не старше 35 лет, заверши</w:t>
      </w:r>
      <w:r>
        <w:rPr>
          <w:color w:val="000000"/>
          <w:sz w:val="26"/>
          <w:szCs w:val="26"/>
        </w:rPr>
        <w:t>вшее обучение по программам среднего или высшего профессионального образования, впервые устраивающееся на работу по трудовому договору по определенной специальности.</w:t>
      </w:r>
    </w:p>
    <w:p w:rsidR="00DF7645" w:rsidRDefault="006A6922">
      <w:pPr>
        <w:ind w:firstLine="6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ст. 22 ТК РФ работодатель имеет право принимать локальные нормативные акты, </w:t>
      </w:r>
      <w:r>
        <w:rPr>
          <w:color w:val="000000"/>
          <w:sz w:val="26"/>
          <w:szCs w:val="26"/>
        </w:rPr>
        <w:t>поощрять работников за добросовестный эффективный труд,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</w:t>
      </w:r>
      <w:r>
        <w:rPr>
          <w:color w:val="000000"/>
          <w:sz w:val="26"/>
          <w:szCs w:val="26"/>
        </w:rPr>
        <w:t>тветственность за сохранность этого имущества) и других работников, соблюдения правил внутреннего трудового распорядка.</w:t>
      </w:r>
    </w:p>
    <w:p w:rsidR="00DF7645" w:rsidRDefault="006A692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В соответствии со ст. 135 ТК РФ, заработная плата работнику устанавливается трудовым договором в соответствии с действующими у данного </w:t>
      </w:r>
      <w:r>
        <w:rPr>
          <w:color w:val="000000"/>
          <w:sz w:val="26"/>
          <w:szCs w:val="26"/>
        </w:rPr>
        <w:t>работодателя системами оплаты труда.</w:t>
      </w:r>
    </w:p>
    <w:p w:rsidR="00DF7645" w:rsidRDefault="006A69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соответствии со статьей 144 ТК РФ системы оплаты труда (в том числе тарифные системы оплаты труда) работников государственных и муниципальных учреждений устанавливаются в муниципальных учреждениях - коллективными дого</w:t>
      </w:r>
      <w:r>
        <w:rPr>
          <w:color w:val="000000"/>
          <w:sz w:val="26"/>
          <w:szCs w:val="26"/>
        </w:rPr>
        <w:t>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</w:t>
      </w:r>
      <w:r>
        <w:rPr>
          <w:color w:val="000000"/>
          <w:sz w:val="26"/>
          <w:szCs w:val="26"/>
        </w:rPr>
        <w:t>ктами органов местного самоуправления.</w:t>
      </w:r>
    </w:p>
    <w:p w:rsidR="00DF7645" w:rsidRDefault="006A69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качестве стимулирующих в ч. 1 ст. 129 ТК РФ указаны следующие выплаты: доплаты и надбавки стимулирующего характера, премии, иные поощрительные выплаты. Они устанавливаются, как правило, в виде фиксированных выплат, </w:t>
      </w:r>
      <w:r>
        <w:rPr>
          <w:color w:val="000000"/>
          <w:sz w:val="26"/>
          <w:szCs w:val="26"/>
        </w:rPr>
        <w:t>например, за высокую квалификацию, стаж работы в организации, ученую степень, знание иностранных языков и др. Их главная цель - стимулирование работников к повышению профессионального уровня и улучшению результатов труда, а также снижение текучести кадров,</w:t>
      </w:r>
      <w:r>
        <w:rPr>
          <w:color w:val="000000"/>
          <w:sz w:val="26"/>
          <w:szCs w:val="26"/>
        </w:rPr>
        <w:t xml:space="preserve"> привлечение необходимых специалистов высокой квалификации.</w:t>
      </w:r>
    </w:p>
    <w:p w:rsidR="00DF7645" w:rsidRDefault="006A69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Дополнительные права и гарантии для молодых специалистов могут устанавливаться иными федеральными законам и нормативными правовыми актами, отраслевыми соглашениями, локальными правовыми актами, а </w:t>
      </w:r>
      <w:r>
        <w:rPr>
          <w:color w:val="000000"/>
          <w:sz w:val="26"/>
          <w:szCs w:val="26"/>
        </w:rPr>
        <w:t>также нормативными правовыми актами субъектов РФ, органов местного самоуправления.</w:t>
      </w:r>
    </w:p>
    <w:p w:rsidR="00DF7645" w:rsidRDefault="006A69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Трудовое законодательство дает большую свободу работодателям для установления особых гарантий и льгот на локальном уровне для привлечения молодых специалистов.</w:t>
      </w:r>
    </w:p>
    <w:p w:rsidR="00DF7645" w:rsidRDefault="006A6922">
      <w:pPr>
        <w:ind w:firstLine="709"/>
        <w:jc w:val="both"/>
      </w:pPr>
      <w:r>
        <w:rPr>
          <w:color w:val="000000"/>
          <w:sz w:val="26"/>
          <w:szCs w:val="26"/>
        </w:rPr>
        <w:t>Законодательс</w:t>
      </w:r>
      <w:r>
        <w:rPr>
          <w:color w:val="000000"/>
          <w:sz w:val="26"/>
          <w:szCs w:val="26"/>
        </w:rPr>
        <w:t>твом порядок выплат проложенным молодым специалистам не регламентирован, перечисленные выплаты устанавливаются работодателями в коллективных договорах, соглашениях, локальных нормативных актах, в соответствии с трудовым законодательством и иными нормативны</w:t>
      </w:r>
      <w:r>
        <w:rPr>
          <w:color w:val="000000"/>
          <w:sz w:val="26"/>
          <w:szCs w:val="26"/>
        </w:rPr>
        <w:t>ми правовыми актами, содержащими нормы трудового права (ч. 2 ст. 135 ТК РФ). Упомянутые локальные нормативные акты принимаются с учетом мнения представительного органа работников (при его наличии) (ч. 4 ст. 135 ТК РФ), и не должны ухудшать положение работн</w:t>
      </w:r>
      <w:r>
        <w:rPr>
          <w:color w:val="000000"/>
          <w:sz w:val="26"/>
          <w:szCs w:val="26"/>
        </w:rPr>
        <w:t>ика по сравнению с действующим законодательством (ч. 4 ст. 8 ТК РФ).</w:t>
      </w:r>
    </w:p>
    <w:p w:rsidR="00DF7645" w:rsidRDefault="006A6922">
      <w:pPr>
        <w:ind w:firstLine="709"/>
        <w:jc w:val="both"/>
      </w:pPr>
      <w:r>
        <w:rPr>
          <w:color w:val="000000"/>
          <w:sz w:val="26"/>
          <w:szCs w:val="26"/>
          <w:lang w:eastAsia="ar-SA"/>
        </w:rPr>
        <w:t xml:space="preserve">Таким образом порядок, условия и размер выплат проложенных молодым специалистам </w:t>
      </w:r>
      <w:proofErr w:type="gramStart"/>
      <w:r>
        <w:rPr>
          <w:color w:val="000000"/>
          <w:sz w:val="26"/>
          <w:szCs w:val="26"/>
          <w:lang w:eastAsia="ar-SA"/>
        </w:rPr>
        <w:t>определяет  работодатель</w:t>
      </w:r>
      <w:proofErr w:type="gramEnd"/>
      <w:r>
        <w:rPr>
          <w:color w:val="000000"/>
          <w:sz w:val="26"/>
          <w:szCs w:val="26"/>
          <w:lang w:eastAsia="ar-SA"/>
        </w:rPr>
        <w:t xml:space="preserve"> в соответствии с возложенными на него полномочиями.</w:t>
      </w:r>
      <w:bookmarkEnd w:id="0"/>
    </w:p>
    <w:sectPr w:rsidR="00DF7645">
      <w:pgSz w:w="11906" w:h="16838"/>
      <w:pgMar w:top="1560" w:right="850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5"/>
    <w:rsid w:val="000C77D0"/>
    <w:rsid w:val="006A6922"/>
    <w:rsid w:val="00D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27C9C-8DF9-40FE-8B83-8D7A8B6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8F9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A70A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CA7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25&amp;dst=100063&amp;field=134&amp;date=28.08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125&amp;dst=100017&amp;field=134&amp;date=28.08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ate=28.08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024&amp;dst=107&amp;field=134&amp;date=28.08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4024&amp;date=28.08.2024" TargetMode="External"/><Relationship Id="rId9" Type="http://schemas.openxmlformats.org/officeDocument/2006/relationships/hyperlink" Target="https://login.consultant.ru/link/?req=doc&amp;base=LAW&amp;n=171835&amp;dst=100025&amp;field=134&amp;date=28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Андреева</dc:creator>
  <dc:description/>
  <cp:lastModifiedBy>Наталия Галева 10 каб.</cp:lastModifiedBy>
  <cp:revision>8</cp:revision>
  <cp:lastPrinted>2024-10-28T10:46:00Z</cp:lastPrinted>
  <dcterms:created xsi:type="dcterms:W3CDTF">2023-09-06T13:27:00Z</dcterms:created>
  <dcterms:modified xsi:type="dcterms:W3CDTF">2024-11-25T09:35:00Z</dcterms:modified>
  <dc:language>ru-RU</dc:language>
</cp:coreProperties>
</file>